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For 2018-19 the school will receive </w:t>
      </w:r>
      <w:r w:rsidDel="00000000" w:rsidR="00000000" w:rsidRPr="00000000">
        <w:rPr>
          <w:rFonts w:ascii="Calibri" w:cs="Calibri" w:eastAsia="Calibri" w:hAnsi="Calibri"/>
          <w:b w:val="1"/>
          <w:sz w:val="36"/>
          <w:szCs w:val="36"/>
          <w:rtl w:val="0"/>
        </w:rPr>
        <w:t xml:space="preserve">$32,429 from the state land trust fund.</w:t>
      </w:r>
      <w:r w:rsidDel="00000000" w:rsidR="00000000" w:rsidRPr="00000000">
        <w:rPr>
          <w:rFonts w:ascii="Calibri" w:cs="Calibri" w:eastAsia="Calibri" w:hAnsi="Calibri"/>
          <w:sz w:val="36"/>
          <w:szCs w:val="36"/>
          <w:rtl w:val="0"/>
        </w:rPr>
        <w:t xml:space="preserve">   This is money earned from state-owned lands that is divided among all public schools.  It represents about 1.5% of our annual budget.  </w:t>
      </w:r>
      <w:r w:rsidDel="00000000" w:rsidR="00000000" w:rsidRPr="00000000">
        <w:rPr>
          <w:rFonts w:ascii="Calibri" w:cs="Calibri" w:eastAsia="Calibri" w:hAnsi="Calibri"/>
          <w:b w:val="1"/>
          <w:sz w:val="36"/>
          <w:szCs w:val="36"/>
          <w:rtl w:val="0"/>
        </w:rPr>
        <w:t xml:space="preserve">The parents must review and approve how this money is spent.</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We propose that we use the trust land dollars  in 2018-19 to continue our </w:t>
      </w:r>
      <w:r w:rsidDel="00000000" w:rsidR="00000000" w:rsidRPr="00000000">
        <w:rPr>
          <w:rFonts w:ascii="Calibri" w:cs="Calibri" w:eastAsia="Calibri" w:hAnsi="Calibri"/>
          <w:b w:val="1"/>
          <w:sz w:val="36"/>
          <w:szCs w:val="36"/>
          <w:rtl w:val="0"/>
        </w:rPr>
        <w:t xml:space="preserve">student advisory program</w:t>
      </w:r>
      <w:r w:rsidDel="00000000" w:rsidR="00000000" w:rsidRPr="00000000">
        <w:rPr>
          <w:rFonts w:ascii="Calibri" w:cs="Calibri" w:eastAsia="Calibri" w:hAnsi="Calibri"/>
          <w:sz w:val="36"/>
          <w:szCs w:val="36"/>
          <w:rtl w:val="0"/>
        </w:rPr>
        <w:t xml:space="preserve">.  The specific goal is: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Calibri" w:cs="Calibri" w:eastAsia="Calibri" w:hAnsi="Calibri"/>
          <w:color w:val="333333"/>
          <w:sz w:val="36"/>
          <w:szCs w:val="36"/>
          <w:highlight w:val="white"/>
        </w:rPr>
      </w:pPr>
      <w:r w:rsidDel="00000000" w:rsidR="00000000" w:rsidRPr="00000000">
        <w:rPr>
          <w:rFonts w:ascii="Calibri" w:cs="Calibri" w:eastAsia="Calibri" w:hAnsi="Calibri"/>
          <w:color w:val="333333"/>
          <w:sz w:val="36"/>
          <w:szCs w:val="36"/>
          <w:highlight w:val="white"/>
          <w:rtl w:val="0"/>
        </w:rPr>
        <w:t xml:space="preserve">Improve graduation rate, college/career placement, academic achievement, technology skills, and attendance and study habits by supporting and strengthening the school-wide advisory program.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color w:val="333333"/>
          <w:sz w:val="36"/>
          <w:szCs w:val="36"/>
          <w:highlight w:val="whit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36"/>
          <w:szCs w:val="36"/>
        </w:rPr>
      </w:pPr>
      <w:r w:rsidDel="00000000" w:rsidR="00000000" w:rsidRPr="00000000">
        <w:rPr>
          <w:rFonts w:ascii="Calibri" w:cs="Calibri" w:eastAsia="Calibri" w:hAnsi="Calibri"/>
          <w:color w:val="333333"/>
          <w:sz w:val="36"/>
          <w:szCs w:val="36"/>
          <w:highlight w:val="white"/>
          <w:rtl w:val="0"/>
        </w:rPr>
        <w:t xml:space="preserve">Advisory meets 109 minutes per week and is focused on college and career readiness, technology readiness, and community readiness, with specific objectives for each grade level.  The funds will pay for up to 12% of teacher salary and fringe benefits for up to 15 advisory teachers.  The actual cost of advisory is about $85,000, so the trust land funds pay for only a portion of it.   We have used trust land funds for this purpose nearly every year.</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7">
      <w:pPr>
        <w:spacing w:line="240" w:lineRule="auto"/>
        <w:contextualSpacing w:val="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We will measure the success of the advisory program with the following measures:</w:t>
      </w:r>
    </w:p>
    <w:p w:rsidR="00000000" w:rsidDel="00000000" w:rsidP="00000000" w:rsidRDefault="00000000" w:rsidRPr="00000000" w14:paraId="00000008">
      <w:pPr>
        <w:spacing w:line="240" w:lineRule="auto"/>
        <w:ind w:left="720" w:firstLine="0"/>
        <w:contextualSpacing w:val="0"/>
        <w:rPr>
          <w:rFonts w:ascii="Calibri" w:cs="Calibri" w:eastAsia="Calibri" w:hAnsi="Calibri"/>
          <w:color w:val="333333"/>
          <w:sz w:val="28"/>
          <w:szCs w:val="28"/>
        </w:rPr>
      </w:pPr>
      <w:r w:rsidDel="00000000" w:rsidR="00000000" w:rsidRPr="00000000">
        <w:rPr>
          <w:rFonts w:ascii="Calibri" w:cs="Calibri" w:eastAsia="Calibri" w:hAnsi="Calibri"/>
          <w:color w:val="333333"/>
          <w:sz w:val="28"/>
          <w:szCs w:val="28"/>
          <w:rtl w:val="0"/>
        </w:rPr>
        <w:t xml:space="preserve">Percent of graduates who apply for FAFSA and college or other training.</w:t>
        <w:br w:type="textWrapping"/>
        <w:t xml:space="preserve">Four- and five-year graduation rate.</w:t>
        <w:br w:type="textWrapping"/>
        <w:t xml:space="preserve">Percent of Ds and Fs compared to all grades awarded.</w:t>
        <w:br w:type="textWrapping"/>
        <w:t xml:space="preserve">Overall and grade level attendance and tardy rates.</w:t>
        <w:br w:type="textWrapping"/>
        <w:t xml:space="preserve">Percent of students with attendance lower than 80% and lower than 90%.</w:t>
        <w:br w:type="textWrapping"/>
        <w:t xml:space="preserve">State test median growth percentiles by subject.</w:t>
      </w:r>
    </w:p>
    <w:p w:rsidR="00000000" w:rsidDel="00000000" w:rsidP="00000000" w:rsidRDefault="00000000" w:rsidRPr="00000000" w14:paraId="00000009">
      <w:pPr>
        <w:ind w:left="0" w:firstLine="0"/>
        <w:contextualSpacing w:val="0"/>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0A">
      <w:pPr>
        <w:contextualSpacing w:val="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We used the 2017-18  land trust funds for the same purpose:  To support our advisory program.  Here are the progress measures from 2017-18:</w:t>
      </w:r>
    </w:p>
    <w:p w:rsidR="00000000" w:rsidDel="00000000" w:rsidP="00000000" w:rsidRDefault="00000000" w:rsidRPr="00000000" w14:paraId="0000000B">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C">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84% of 2018 graduates completed the full FAFSA (federal financial aid for college) application.</w:t>
      </w:r>
    </w:p>
    <w:p w:rsidR="00000000" w:rsidDel="00000000" w:rsidP="00000000" w:rsidRDefault="00000000" w:rsidRPr="00000000" w14:paraId="0000000D">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94% of 2018 graduates completed at least one college application.</w:t>
      </w:r>
    </w:p>
    <w:p w:rsidR="00000000" w:rsidDel="00000000" w:rsidP="00000000" w:rsidRDefault="00000000" w:rsidRPr="00000000" w14:paraId="0000000E">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32 students graduated, of whom 10 were 5-year graduates from the previous year.   The four-year graduation rate for the class of 2018 was only 47%, but a total of 80% either graduated OR returned for a super-senior year.   This is an improvement over 73% in 2017. </w:t>
      </w:r>
    </w:p>
    <w:p w:rsidR="00000000" w:rsidDel="00000000" w:rsidP="00000000" w:rsidRDefault="00000000" w:rsidRPr="00000000" w14:paraId="0000000F">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9% of grades awarded in 2017-18 were Ds or Fs, up from 8% in 2016-17 but below our 5-year average.</w:t>
      </w:r>
    </w:p>
    <w:p w:rsidR="00000000" w:rsidDel="00000000" w:rsidP="00000000" w:rsidRDefault="00000000" w:rsidRPr="00000000" w14:paraId="0000001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Overall attendance was up from 89% in 2016-17 to 91% in 2017-18.</w:t>
      </w:r>
    </w:p>
    <w:p w:rsidR="00000000" w:rsidDel="00000000" w:rsidP="00000000" w:rsidRDefault="00000000" w:rsidRPr="00000000" w14:paraId="00000011">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percentage of students (26%) tardy more than 5% of the time was the lowest in five years.</w:t>
      </w:r>
    </w:p>
    <w:p w:rsidR="00000000" w:rsidDel="00000000" w:rsidP="00000000" w:rsidRDefault="00000000" w:rsidRPr="00000000" w14:paraId="00000012">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Nine percent of students had attendance rates below 80% , and 27% of students had attendance rates below 90%.  Both figures are below the 5-year average, but still too high.</w:t>
      </w:r>
    </w:p>
    <w:p w:rsidR="00000000" w:rsidDel="00000000" w:rsidP="00000000" w:rsidRDefault="00000000" w:rsidRPr="00000000" w14:paraId="00000013">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Growth in SAGE scores (median growth percentile) was 42.5 in English (lower than usual) and 43 in math (the highest so far).  </w:t>
      </w:r>
    </w:p>
    <w:p w:rsidR="00000000" w:rsidDel="00000000" w:rsidP="00000000" w:rsidRDefault="00000000" w:rsidRPr="00000000" w14:paraId="00000014">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contextualSpacing w:val="0"/>
        <w:rPr>
          <w:rFonts w:ascii="Calibri" w:cs="Calibri" w:eastAsia="Calibri" w:hAnsi="Calibri"/>
          <w:sz w:val="28"/>
          <w:szCs w:val="2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